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3C97DE98"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00932C93">
        <w:rPr>
          <w:rFonts w:ascii="Arial" w:hAnsi="Arial" w:cs="Arial"/>
          <w:b/>
          <w:sz w:val="24"/>
          <w:szCs w:val="24"/>
        </w:rPr>
        <w:t>1</w:t>
      </w:r>
      <w:r w:rsidR="00817BD6">
        <w:rPr>
          <w:rFonts w:ascii="Arial" w:hAnsi="Arial" w:cs="Arial"/>
          <w:b/>
          <w:sz w:val="24"/>
          <w:szCs w:val="24"/>
        </w:rPr>
        <w:t>1</w:t>
      </w:r>
      <w:r w:rsidR="00451ADC">
        <w:rPr>
          <w:rFonts w:ascii="Arial" w:hAnsi="Arial" w:cs="Arial"/>
          <w:b/>
          <w:sz w:val="24"/>
          <w:szCs w:val="24"/>
        </w:rPr>
        <w:t>1</w:t>
      </w:r>
      <w:r w:rsidR="00EB3C3C">
        <w:rPr>
          <w:rFonts w:ascii="Arial" w:hAnsi="Arial" w:cs="Arial"/>
          <w:b/>
          <w:sz w:val="24"/>
          <w:szCs w:val="24"/>
        </w:rPr>
        <w:t xml:space="preserve"> </w:t>
      </w:r>
      <w:r w:rsidR="00451ADC">
        <w:rPr>
          <w:rFonts w:ascii="Arial" w:hAnsi="Arial" w:cs="Arial"/>
          <w:b/>
          <w:sz w:val="24"/>
          <w:szCs w:val="24"/>
        </w:rPr>
        <w:t xml:space="preserve">     </w:t>
      </w:r>
      <w:r w:rsidR="00C971A5">
        <w:rPr>
          <w:rFonts w:ascii="Arial" w:hAnsi="Arial" w:cs="Arial"/>
          <w:b/>
          <w:sz w:val="24"/>
          <w:szCs w:val="24"/>
        </w:rPr>
        <w:t xml:space="preserve">                </w:t>
      </w:r>
      <w:r w:rsidR="00E52300">
        <w:rPr>
          <w:rFonts w:ascii="Arial" w:hAnsi="Arial" w:cs="Arial"/>
          <w:b/>
          <w:sz w:val="24"/>
          <w:szCs w:val="24"/>
        </w:rPr>
        <w:t xml:space="preserve">  </w:t>
      </w:r>
      <w:r w:rsidR="00C971A5">
        <w:rPr>
          <w:rFonts w:ascii="Arial" w:hAnsi="Arial" w:cs="Arial"/>
          <w:b/>
          <w:sz w:val="24"/>
          <w:szCs w:val="24"/>
        </w:rPr>
        <w:t xml:space="preserve">                                    </w:t>
      </w:r>
      <w:r w:rsidR="00722621">
        <w:rPr>
          <w:rFonts w:ascii="Arial" w:hAnsi="Arial" w:cs="Arial"/>
          <w:b/>
          <w:sz w:val="24"/>
          <w:szCs w:val="24"/>
        </w:rPr>
        <w:t xml:space="preserve"> </w:t>
      </w:r>
      <w:r w:rsidR="003D7052" w:rsidRPr="003D7052">
        <w:rPr>
          <w:rFonts w:ascii="Arial" w:hAnsi="Arial" w:cs="Arial"/>
          <w:b/>
          <w:sz w:val="24"/>
          <w:szCs w:val="24"/>
          <w:lang w:val="en-GB"/>
        </w:rPr>
        <w:t>R4-2407271</w:t>
      </w:r>
    </w:p>
    <w:p w14:paraId="2C67BE8C" w14:textId="74CF5287" w:rsidR="009F52D7" w:rsidRPr="00554399" w:rsidRDefault="00451ADC"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Fukuoka</w:t>
      </w:r>
      <w:r w:rsidR="00314E5E">
        <w:rPr>
          <w:rFonts w:ascii="Arial" w:eastAsia="SimSun" w:hAnsi="Arial"/>
          <w:b/>
          <w:sz w:val="24"/>
          <w:szCs w:val="24"/>
          <w:lang w:eastAsia="zh-CN"/>
        </w:rPr>
        <w:t xml:space="preserve">, </w:t>
      </w:r>
      <w:r>
        <w:rPr>
          <w:rFonts w:ascii="Arial" w:eastAsia="SimSun" w:hAnsi="Arial"/>
          <w:b/>
          <w:sz w:val="24"/>
          <w:szCs w:val="24"/>
          <w:lang w:eastAsia="zh-CN"/>
        </w:rPr>
        <w:t>Japan</w:t>
      </w:r>
      <w:r w:rsidR="00314E5E">
        <w:rPr>
          <w:rFonts w:ascii="Arial" w:eastAsia="SimSun" w:hAnsi="Arial"/>
          <w:b/>
          <w:sz w:val="24"/>
          <w:szCs w:val="24"/>
          <w:lang w:eastAsia="zh-CN"/>
        </w:rPr>
        <w:t xml:space="preserve">, </w:t>
      </w:r>
      <w:r>
        <w:rPr>
          <w:rFonts w:ascii="Arial" w:eastAsia="SimSun" w:hAnsi="Arial"/>
          <w:b/>
          <w:sz w:val="24"/>
          <w:szCs w:val="24"/>
          <w:lang w:eastAsia="zh-CN"/>
        </w:rPr>
        <w:t>May</w:t>
      </w:r>
      <w:r w:rsidR="00A43149">
        <w:rPr>
          <w:rFonts w:ascii="Arial" w:eastAsia="SimSun" w:hAnsi="Arial"/>
          <w:b/>
          <w:sz w:val="24"/>
          <w:szCs w:val="24"/>
          <w:lang w:eastAsia="zh-CN"/>
        </w:rPr>
        <w:t xml:space="preserve"> </w:t>
      </w:r>
      <w:r>
        <w:rPr>
          <w:rFonts w:ascii="Arial" w:eastAsia="SimSun" w:hAnsi="Arial"/>
          <w:b/>
          <w:sz w:val="24"/>
          <w:szCs w:val="24"/>
          <w:lang w:eastAsia="zh-CN"/>
        </w:rPr>
        <w:t>20</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May</w:t>
      </w:r>
      <w:r w:rsidR="00996052">
        <w:rPr>
          <w:rFonts w:ascii="Arial" w:eastAsia="SimSun" w:hAnsi="Arial"/>
          <w:b/>
          <w:sz w:val="24"/>
          <w:szCs w:val="24"/>
          <w:lang w:eastAsia="zh-CN"/>
        </w:rPr>
        <w:t xml:space="preserve"> </w:t>
      </w:r>
      <w:r>
        <w:rPr>
          <w:rFonts w:ascii="Arial" w:eastAsia="SimSun" w:hAnsi="Arial"/>
          <w:b/>
          <w:sz w:val="24"/>
          <w:szCs w:val="24"/>
          <w:lang w:eastAsia="zh-CN"/>
        </w:rPr>
        <w:t>24</w:t>
      </w:r>
      <w:r w:rsidR="00951300" w:rsidRPr="00CD5A36">
        <w:rPr>
          <w:rFonts w:ascii="Arial" w:eastAsia="SimSun" w:hAnsi="Arial"/>
          <w:b/>
          <w:sz w:val="24"/>
          <w:szCs w:val="24"/>
          <w:lang w:eastAsia="zh-CN"/>
        </w:rPr>
        <w:t>, 202</w:t>
      </w:r>
      <w:r w:rsidR="00817BD6">
        <w:rPr>
          <w:rFonts w:ascii="Arial" w:eastAsia="SimSun" w:hAnsi="Arial"/>
          <w:b/>
          <w:sz w:val="24"/>
          <w:szCs w:val="24"/>
          <w:lang w:eastAsia="zh-CN"/>
        </w:rPr>
        <w:t>4</w:t>
      </w:r>
    </w:p>
    <w:p w14:paraId="2305CEA3" w14:textId="3DA152E9" w:rsidR="009F52D7" w:rsidRPr="00303915" w:rsidRDefault="009F52D7" w:rsidP="009F52D7">
      <w:pPr>
        <w:pStyle w:val="CH"/>
        <w:rPr>
          <w:sz w:val="24"/>
          <w:szCs w:val="24"/>
        </w:rPr>
      </w:pPr>
      <w:r w:rsidRPr="00303915">
        <w:rPr>
          <w:sz w:val="24"/>
          <w:szCs w:val="24"/>
        </w:rPr>
        <w:t>Agenda item:</w:t>
      </w:r>
      <w:r w:rsidRPr="00303915">
        <w:rPr>
          <w:sz w:val="24"/>
          <w:szCs w:val="24"/>
        </w:rPr>
        <w:tab/>
      </w:r>
      <w:r w:rsidR="00451ADC">
        <w:rPr>
          <w:sz w:val="24"/>
          <w:szCs w:val="24"/>
        </w:rPr>
        <w:t>7</w:t>
      </w:r>
      <w:r w:rsidR="0087401C" w:rsidRPr="0087401C">
        <w:rPr>
          <w:sz w:val="24"/>
          <w:szCs w:val="24"/>
        </w:rPr>
        <w:t>.</w:t>
      </w:r>
      <w:r w:rsidR="00011886">
        <w:rPr>
          <w:sz w:val="24"/>
          <w:szCs w:val="24"/>
        </w:rPr>
        <w:t>2</w:t>
      </w:r>
      <w:r w:rsidR="0072383F">
        <w:rPr>
          <w:sz w:val="24"/>
          <w:szCs w:val="24"/>
        </w:rPr>
        <w:t>4</w:t>
      </w:r>
      <w:r w:rsidR="009B4D21">
        <w:rPr>
          <w:sz w:val="24"/>
          <w:szCs w:val="24"/>
        </w:rPr>
        <w:t>.</w:t>
      </w:r>
      <w:r w:rsidR="00451ADC">
        <w:rPr>
          <w:sz w:val="24"/>
          <w:szCs w:val="24"/>
        </w:rPr>
        <w:t>3</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3605F3CE"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451ADC" w:rsidRPr="00451ADC">
        <w:rPr>
          <w:sz w:val="24"/>
          <w:szCs w:val="24"/>
        </w:rPr>
        <w:t>Final Views on UE Demodulation Requirements for Network Energy Savings</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6F727BF2" w14:textId="0331C185" w:rsidR="00EB179A" w:rsidRDefault="00EB179A" w:rsidP="00EB179A">
      <w:pPr>
        <w:spacing w:after="120"/>
        <w:rPr>
          <w:sz w:val="20"/>
          <w:szCs w:val="20"/>
        </w:rPr>
      </w:pPr>
      <w:r w:rsidRPr="00EB179A">
        <w:rPr>
          <w:sz w:val="20"/>
          <w:szCs w:val="20"/>
          <w:lang w:val="en-DE"/>
        </w:rPr>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r>
        <w:rPr>
          <w:sz w:val="20"/>
          <w:szCs w:val="20"/>
        </w:rPr>
        <w:t xml:space="preserve"> </w:t>
      </w:r>
      <w:r w:rsidRPr="00EB179A">
        <w:rPr>
          <w:sz w:val="20"/>
          <w:szCs w:val="20"/>
          <w:lang w:val="en-DE"/>
        </w:rPr>
        <w:t>Energy consumption has become a key part of the operators’ OPEX</w:t>
      </w:r>
      <w:r>
        <w:rPr>
          <w:sz w:val="20"/>
          <w:szCs w:val="20"/>
        </w:rPr>
        <w:t xml:space="preserve">, </w:t>
      </w:r>
      <w:r w:rsidRPr="00EB179A">
        <w:rPr>
          <w:sz w:val="20"/>
          <w:szCs w:val="20"/>
          <w:lang w:val="en-DE"/>
        </w:rPr>
        <w:t>~23% of the total operator cost</w:t>
      </w:r>
      <w:r>
        <w:rPr>
          <w:sz w:val="20"/>
          <w:szCs w:val="20"/>
        </w:rPr>
        <w:t>, m</w:t>
      </w:r>
      <w:r w:rsidRPr="00EB179A">
        <w:rPr>
          <w:sz w:val="20"/>
          <w:szCs w:val="20"/>
          <w:lang w:val="en-DE"/>
        </w:rPr>
        <w:t xml:space="preserve">ost of </w:t>
      </w:r>
      <w:r>
        <w:rPr>
          <w:sz w:val="20"/>
          <w:szCs w:val="20"/>
        </w:rPr>
        <w:t>it coming</w:t>
      </w:r>
      <w:r w:rsidRPr="00EB179A">
        <w:rPr>
          <w:sz w:val="20"/>
          <w:szCs w:val="20"/>
          <w:lang w:val="en-DE"/>
        </w:rPr>
        <w:t xml:space="preserve"> from the </w:t>
      </w:r>
      <w:r>
        <w:rPr>
          <w:sz w:val="20"/>
          <w:szCs w:val="20"/>
        </w:rPr>
        <w:t xml:space="preserve">RAN </w:t>
      </w:r>
      <w:r w:rsidRPr="00EB179A">
        <w:rPr>
          <w:sz w:val="20"/>
          <w:szCs w:val="20"/>
          <w:lang w:val="en-DE"/>
        </w:rPr>
        <w:t>and in particular from the Active Antenna Unit (AAU)</w:t>
      </w:r>
      <w:r>
        <w:rPr>
          <w:sz w:val="20"/>
          <w:szCs w:val="20"/>
        </w:rPr>
        <w:t>.</w:t>
      </w:r>
    </w:p>
    <w:p w14:paraId="33EBB863" w14:textId="09155E4C" w:rsidR="003D17C7" w:rsidRDefault="00EB179A" w:rsidP="00EB179A">
      <w:pPr>
        <w:spacing w:after="120"/>
        <w:rPr>
          <w:sz w:val="20"/>
          <w:szCs w:val="20"/>
          <w:lang w:val="en-GB"/>
        </w:rPr>
      </w:pPr>
      <w:r w:rsidRPr="00EB179A">
        <w:rPr>
          <w:rFonts w:hint="eastAsia"/>
          <w:sz w:val="20"/>
          <w:szCs w:val="20"/>
          <w:lang w:val="en-GB"/>
        </w:rPr>
        <w:t>B</w:t>
      </w:r>
      <w:r w:rsidRPr="00EB179A">
        <w:rPr>
          <w:sz w:val="20"/>
          <w:szCs w:val="20"/>
          <w:lang w:val="en-GB"/>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w:t>
      </w:r>
      <w:r w:rsidR="003D17C7">
        <w:rPr>
          <w:sz w:val="20"/>
          <w:szCs w:val="20"/>
          <w:lang w:val="en-GB"/>
        </w:rPr>
        <w:t>, such as:</w:t>
      </w:r>
    </w:p>
    <w:p w14:paraId="5F20B7D4" w14:textId="77777777" w:rsidR="003D17C7" w:rsidRPr="003D17C7" w:rsidRDefault="003D17C7" w:rsidP="003D17C7">
      <w:pPr>
        <w:numPr>
          <w:ilvl w:val="0"/>
          <w:numId w:val="7"/>
        </w:numPr>
        <w:spacing w:after="120"/>
        <w:rPr>
          <w:b/>
          <w:bCs/>
          <w:sz w:val="20"/>
          <w:szCs w:val="20"/>
          <w:lang w:val="en-GB"/>
        </w:rPr>
      </w:pPr>
      <w:r w:rsidRPr="003D17C7">
        <w:rPr>
          <w:sz w:val="20"/>
          <w:szCs w:val="20"/>
          <w:lang w:val="en-GB"/>
        </w:rPr>
        <w:t xml:space="preserve">Specify necessary enhancements on CSI and beam management related procedures including measurement and report, and </w:t>
      </w:r>
      <w:proofErr w:type="spellStart"/>
      <w:r w:rsidRPr="003D17C7">
        <w:rPr>
          <w:sz w:val="20"/>
          <w:szCs w:val="20"/>
          <w:lang w:val="en-GB"/>
        </w:rPr>
        <w:t>signaling</w:t>
      </w:r>
      <w:proofErr w:type="spellEnd"/>
      <w:r w:rsidRPr="003D17C7">
        <w:rPr>
          <w:sz w:val="20"/>
          <w:szCs w:val="20"/>
          <w:lang w:val="en-GB"/>
        </w:rPr>
        <w:t xml:space="preserve"> to enable efficient adaptation of spatial elements (e.g. antenna ports, active transceiver chains)</w:t>
      </w:r>
      <w:r w:rsidRPr="003D17C7">
        <w:rPr>
          <w:b/>
          <w:bCs/>
          <w:sz w:val="20"/>
          <w:szCs w:val="20"/>
          <w:lang w:val="en-GB"/>
        </w:rPr>
        <w:t xml:space="preserve"> [RAN1, RAN2]</w:t>
      </w:r>
    </w:p>
    <w:p w14:paraId="05392EEA" w14:textId="77777777" w:rsidR="003D17C7" w:rsidRPr="003D17C7" w:rsidRDefault="003D17C7" w:rsidP="003D17C7">
      <w:pPr>
        <w:numPr>
          <w:ilvl w:val="0"/>
          <w:numId w:val="7"/>
        </w:numPr>
        <w:spacing w:after="120"/>
        <w:rPr>
          <w:b/>
          <w:bCs/>
          <w:sz w:val="20"/>
          <w:szCs w:val="20"/>
          <w:lang w:val="en-GB"/>
        </w:rPr>
      </w:pPr>
      <w:r w:rsidRPr="003D17C7">
        <w:rPr>
          <w:sz w:val="20"/>
          <w:szCs w:val="20"/>
          <w:lang w:val="en-GB"/>
        </w:rPr>
        <w:t xml:space="preserve">Specify necessary enhancements on CSI related procedures including measurement and report, and </w:t>
      </w:r>
      <w:proofErr w:type="spellStart"/>
      <w:r w:rsidRPr="003D17C7">
        <w:rPr>
          <w:sz w:val="20"/>
          <w:szCs w:val="20"/>
          <w:lang w:val="en-GB"/>
        </w:rPr>
        <w:t>signaling</w:t>
      </w:r>
      <w:proofErr w:type="spellEnd"/>
      <w:r w:rsidRPr="003D17C7">
        <w:rPr>
          <w:sz w:val="20"/>
          <w:szCs w:val="20"/>
          <w:lang w:val="en-GB"/>
        </w:rPr>
        <w:t xml:space="preserve"> to enable efficient adaptation of power offset values between PDSCH and CSI-RS </w:t>
      </w:r>
      <w:r w:rsidRPr="003D17C7">
        <w:rPr>
          <w:b/>
          <w:bCs/>
          <w:sz w:val="20"/>
          <w:szCs w:val="20"/>
          <w:lang w:val="en-GB"/>
        </w:rPr>
        <w:t>[RAN1, RAN2]</w:t>
      </w:r>
    </w:p>
    <w:p w14:paraId="7DC98AE4" w14:textId="77777777" w:rsidR="003D17C7" w:rsidRPr="003D17C7" w:rsidRDefault="003D17C7" w:rsidP="003D17C7">
      <w:pPr>
        <w:numPr>
          <w:ilvl w:val="0"/>
          <w:numId w:val="7"/>
        </w:numPr>
        <w:spacing w:after="120"/>
        <w:rPr>
          <w:sz w:val="20"/>
          <w:szCs w:val="20"/>
          <w:lang w:val="en-GB"/>
        </w:rPr>
      </w:pPr>
      <w:r w:rsidRPr="003D17C7">
        <w:rPr>
          <w:sz w:val="20"/>
          <w:szCs w:val="20"/>
          <w:lang w:val="en-GB"/>
        </w:rPr>
        <w:t>Note: Above objectives are only for UE specific channels/signals</w:t>
      </w:r>
    </w:p>
    <w:p w14:paraId="076B7550" w14:textId="569D1FCD" w:rsidR="003D17C7" w:rsidRPr="00B66CEE" w:rsidRDefault="003D17C7" w:rsidP="00EB179A">
      <w:pPr>
        <w:numPr>
          <w:ilvl w:val="0"/>
          <w:numId w:val="7"/>
        </w:numPr>
        <w:spacing w:after="120"/>
        <w:rPr>
          <w:sz w:val="20"/>
          <w:szCs w:val="20"/>
          <w:lang w:val="en-GB"/>
        </w:rPr>
      </w:pPr>
      <w:r w:rsidRPr="003D17C7">
        <w:rPr>
          <w:sz w:val="20"/>
          <w:szCs w:val="20"/>
          <w:lang w:val="en-GB"/>
        </w:rPr>
        <w:t>Note: Legacy UE CSI/CSI-RS capabilities applies when considering total number of CSI reports and requirements</w:t>
      </w:r>
    </w:p>
    <w:p w14:paraId="5A6D3E66" w14:textId="09BB1F3A" w:rsidR="00B66CEE" w:rsidRPr="004447FE" w:rsidRDefault="009F52D7" w:rsidP="004447FE">
      <w:pPr>
        <w:pStyle w:val="Heading1"/>
      </w:pPr>
      <w:r>
        <w:t>2. Discussion</w:t>
      </w:r>
    </w:p>
    <w:p w14:paraId="65523EEC" w14:textId="1D9DE58B" w:rsidR="004447FE" w:rsidRDefault="004447FE" w:rsidP="00BC6430">
      <w:pPr>
        <w:spacing w:after="120"/>
        <w:rPr>
          <w:bCs/>
          <w:sz w:val="20"/>
          <w:szCs w:val="20"/>
        </w:rPr>
      </w:pPr>
      <w:r>
        <w:rPr>
          <w:bCs/>
          <w:sz w:val="20"/>
          <w:szCs w:val="20"/>
        </w:rPr>
        <w:t>As mentioned before, d</w:t>
      </w:r>
      <w:r w:rsidR="00B66CEE">
        <w:rPr>
          <w:bCs/>
          <w:sz w:val="20"/>
          <w:szCs w:val="20"/>
        </w:rPr>
        <w:t>uring the</w:t>
      </w:r>
      <w:r w:rsidR="00B66CEE" w:rsidRPr="00C5189D">
        <w:rPr>
          <w:bCs/>
          <w:sz w:val="20"/>
          <w:szCs w:val="20"/>
        </w:rPr>
        <w:t xml:space="preserve"> RAN4#108b</w:t>
      </w:r>
      <w:r w:rsidR="00B66CEE">
        <w:rPr>
          <w:bCs/>
          <w:sz w:val="20"/>
          <w:szCs w:val="20"/>
        </w:rPr>
        <w:t xml:space="preserve"> </w:t>
      </w:r>
      <w:r>
        <w:rPr>
          <w:bCs/>
          <w:sz w:val="20"/>
          <w:szCs w:val="20"/>
        </w:rPr>
        <w:t xml:space="preserve">some </w:t>
      </w:r>
      <w:r w:rsidR="00B66CEE" w:rsidRPr="00C5189D">
        <w:rPr>
          <w:bCs/>
          <w:sz w:val="20"/>
          <w:szCs w:val="20"/>
        </w:rPr>
        <w:t xml:space="preserve">concerns </w:t>
      </w:r>
      <w:r>
        <w:rPr>
          <w:bCs/>
          <w:sz w:val="20"/>
          <w:szCs w:val="20"/>
        </w:rPr>
        <w:t>were</w:t>
      </w:r>
      <w:r w:rsidR="00B66CEE">
        <w:rPr>
          <w:bCs/>
          <w:sz w:val="20"/>
          <w:szCs w:val="20"/>
        </w:rPr>
        <w:t xml:space="preserve"> brought </w:t>
      </w:r>
      <w:r w:rsidR="00B66CEE" w:rsidRPr="00C5189D">
        <w:rPr>
          <w:bCs/>
          <w:sz w:val="20"/>
          <w:szCs w:val="20"/>
        </w:rPr>
        <w:t xml:space="preserve">on the demodulation performance in the SSB-less </w:t>
      </w:r>
      <w:proofErr w:type="spellStart"/>
      <w:r w:rsidR="00B66CEE" w:rsidRPr="00C5189D">
        <w:rPr>
          <w:bCs/>
          <w:sz w:val="20"/>
          <w:szCs w:val="20"/>
        </w:rPr>
        <w:t>SCell</w:t>
      </w:r>
      <w:proofErr w:type="spellEnd"/>
      <w:r>
        <w:rPr>
          <w:bCs/>
          <w:sz w:val="20"/>
          <w:szCs w:val="20"/>
        </w:rPr>
        <w:t xml:space="preserve"> operation</w:t>
      </w:r>
      <w:r w:rsidR="00B66CEE">
        <w:rPr>
          <w:bCs/>
          <w:sz w:val="20"/>
          <w:szCs w:val="20"/>
        </w:rPr>
        <w:t xml:space="preserve"> [</w:t>
      </w:r>
      <w:r>
        <w:rPr>
          <w:bCs/>
          <w:sz w:val="20"/>
          <w:szCs w:val="20"/>
        </w:rPr>
        <w:t>1</w:t>
      </w:r>
      <w:r w:rsidR="00B66CEE">
        <w:rPr>
          <w:bCs/>
          <w:sz w:val="20"/>
          <w:szCs w:val="20"/>
        </w:rPr>
        <w:t xml:space="preserve">]. </w:t>
      </w:r>
      <w:r>
        <w:rPr>
          <w:bCs/>
          <w:sz w:val="20"/>
          <w:szCs w:val="20"/>
        </w:rPr>
        <w:t>More specifically, “</w:t>
      </w:r>
      <w:r w:rsidRPr="004447FE">
        <w:rPr>
          <w:bCs/>
          <w:i/>
          <w:iCs/>
          <w:sz w:val="20"/>
          <w:szCs w:val="20"/>
        </w:rPr>
        <w:t xml:space="preserve">RAN4 to evaluate the performance of SSB-less </w:t>
      </w:r>
      <w:proofErr w:type="spellStart"/>
      <w:r w:rsidRPr="004447FE">
        <w:rPr>
          <w:bCs/>
          <w:i/>
          <w:iCs/>
          <w:sz w:val="20"/>
          <w:szCs w:val="20"/>
        </w:rPr>
        <w:t>SCells</w:t>
      </w:r>
      <w:proofErr w:type="spellEnd"/>
      <w:r w:rsidRPr="004447FE">
        <w:rPr>
          <w:bCs/>
          <w:i/>
          <w:iCs/>
          <w:sz w:val="20"/>
          <w:szCs w:val="20"/>
        </w:rPr>
        <w:t xml:space="preserve"> CA performance, if the observed performance constitutes a practical operating point of the feature, or if SSB-less </w:t>
      </w:r>
      <w:proofErr w:type="spellStart"/>
      <w:r w:rsidRPr="004447FE">
        <w:rPr>
          <w:bCs/>
          <w:i/>
          <w:iCs/>
          <w:sz w:val="20"/>
          <w:szCs w:val="20"/>
        </w:rPr>
        <w:t>SCell</w:t>
      </w:r>
      <w:proofErr w:type="spellEnd"/>
      <w:r w:rsidRPr="004447FE">
        <w:rPr>
          <w:bCs/>
          <w:i/>
          <w:iCs/>
          <w:sz w:val="20"/>
          <w:szCs w:val="20"/>
        </w:rPr>
        <w:t xml:space="preserve"> compliant UE shall be tested with normal CA requirements</w:t>
      </w:r>
      <w:r>
        <w:rPr>
          <w:bCs/>
          <w:i/>
          <w:iCs/>
          <w:sz w:val="20"/>
          <w:szCs w:val="20"/>
        </w:rPr>
        <w:t>”</w:t>
      </w:r>
      <w:r w:rsidRPr="004447FE">
        <w:rPr>
          <w:bCs/>
          <w:i/>
          <w:iCs/>
          <w:sz w:val="20"/>
          <w:szCs w:val="20"/>
        </w:rPr>
        <w:t>.</w:t>
      </w:r>
    </w:p>
    <w:p w14:paraId="2F7BF3A0" w14:textId="6F92B0E9" w:rsidR="004447FE" w:rsidRDefault="004447FE" w:rsidP="00BC6430">
      <w:pPr>
        <w:spacing w:after="120"/>
        <w:rPr>
          <w:bCs/>
          <w:sz w:val="20"/>
          <w:szCs w:val="20"/>
        </w:rPr>
      </w:pPr>
      <w:r>
        <w:rPr>
          <w:bCs/>
          <w:sz w:val="20"/>
          <w:szCs w:val="20"/>
        </w:rPr>
        <w:t xml:space="preserve">During RAN4#110b companies presented simulation results, and 4 out of 6 companies showed that the performance degradation with increased time offset (TO) was negligible, in the order of 0.1-0.2dB. </w:t>
      </w:r>
      <w:r w:rsidR="007852BA">
        <w:rPr>
          <w:bCs/>
          <w:sz w:val="20"/>
          <w:szCs w:val="20"/>
        </w:rPr>
        <w:t>Hence, companies agreed that no new requirement should be defined.</w:t>
      </w:r>
    </w:p>
    <w:p w14:paraId="41D142BD" w14:textId="241BCDE8" w:rsidR="004447FE" w:rsidRDefault="004447FE" w:rsidP="00BC6430">
      <w:pPr>
        <w:spacing w:after="120"/>
        <w:rPr>
          <w:bCs/>
          <w:sz w:val="20"/>
          <w:szCs w:val="20"/>
        </w:rPr>
      </w:pPr>
      <w:r w:rsidRPr="002C2D13">
        <w:rPr>
          <w:b/>
          <w:bCs/>
          <w:sz w:val="20"/>
          <w:szCs w:val="20"/>
          <w:u w:val="single"/>
          <w:lang w:val="en-GB"/>
        </w:rPr>
        <w:t>Observation 1</w:t>
      </w:r>
      <w:r w:rsidRPr="002C2D13">
        <w:rPr>
          <w:b/>
          <w:bCs/>
          <w:sz w:val="20"/>
          <w:szCs w:val="20"/>
          <w:lang w:val="en-GB"/>
        </w:rPr>
        <w:t xml:space="preserve">: The capture range of TRS in SSB-less CA operation </w:t>
      </w:r>
      <w:r>
        <w:rPr>
          <w:b/>
          <w:bCs/>
          <w:sz w:val="20"/>
          <w:szCs w:val="20"/>
          <w:lang w:val="en-GB"/>
        </w:rPr>
        <w:t xml:space="preserve">was shown to be sufficient </w:t>
      </w:r>
      <w:r w:rsidRPr="002C2D13">
        <w:rPr>
          <w:b/>
          <w:bCs/>
          <w:sz w:val="20"/>
          <w:szCs w:val="20"/>
          <w:lang w:val="en-GB"/>
        </w:rPr>
        <w:t xml:space="preserve">for time </w:t>
      </w:r>
      <w:r>
        <w:rPr>
          <w:b/>
          <w:bCs/>
          <w:sz w:val="20"/>
          <w:szCs w:val="20"/>
          <w:lang w:val="en-GB"/>
        </w:rPr>
        <w:t xml:space="preserve">offset </w:t>
      </w:r>
      <w:r w:rsidRPr="002C2D13">
        <w:rPr>
          <w:b/>
          <w:bCs/>
          <w:sz w:val="20"/>
          <w:szCs w:val="20"/>
          <w:lang w:val="en-GB"/>
        </w:rPr>
        <w:t>compensation</w:t>
      </w:r>
      <w:r>
        <w:rPr>
          <w:b/>
          <w:bCs/>
          <w:sz w:val="20"/>
          <w:szCs w:val="20"/>
          <w:lang w:val="en-GB"/>
        </w:rPr>
        <w:t xml:space="preserve"> via simulation results</w:t>
      </w:r>
      <w:r w:rsidR="007852BA">
        <w:rPr>
          <w:b/>
          <w:bCs/>
          <w:sz w:val="20"/>
          <w:szCs w:val="20"/>
          <w:lang w:val="en-GB"/>
        </w:rPr>
        <w:t xml:space="preserve"> brought by interested companies</w:t>
      </w:r>
      <w:r>
        <w:rPr>
          <w:b/>
          <w:bCs/>
          <w:sz w:val="20"/>
          <w:szCs w:val="20"/>
          <w:lang w:val="en-GB"/>
        </w:rPr>
        <w:t>.</w:t>
      </w:r>
    </w:p>
    <w:p w14:paraId="0A782A08" w14:textId="22BE085F" w:rsidR="007852BA" w:rsidRPr="007852BA" w:rsidRDefault="004447FE" w:rsidP="007852BA">
      <w:pPr>
        <w:numPr>
          <w:ilvl w:val="3"/>
          <w:numId w:val="7"/>
        </w:numPr>
        <w:spacing w:after="120"/>
        <w:rPr>
          <w:b/>
          <w:bCs/>
          <w:sz w:val="20"/>
          <w:szCs w:val="20"/>
        </w:rPr>
      </w:pPr>
      <w:r w:rsidRPr="002C2D13">
        <w:rPr>
          <w:b/>
          <w:bCs/>
          <w:sz w:val="20"/>
          <w:szCs w:val="20"/>
          <w:u w:val="single"/>
          <w:lang w:val="en-GB"/>
        </w:rPr>
        <w:t xml:space="preserve">Observation </w:t>
      </w:r>
      <w:r w:rsidR="007852BA">
        <w:rPr>
          <w:b/>
          <w:bCs/>
          <w:sz w:val="20"/>
          <w:szCs w:val="20"/>
          <w:u w:val="single"/>
          <w:lang w:val="en-GB"/>
        </w:rPr>
        <w:t>2</w:t>
      </w:r>
      <w:r w:rsidRPr="002C2D13">
        <w:rPr>
          <w:b/>
          <w:bCs/>
          <w:sz w:val="20"/>
          <w:szCs w:val="20"/>
          <w:lang w:val="en-GB"/>
        </w:rPr>
        <w:t>: The</w:t>
      </w:r>
      <w:r w:rsidR="007852BA">
        <w:rPr>
          <w:b/>
          <w:bCs/>
          <w:sz w:val="20"/>
          <w:szCs w:val="20"/>
          <w:lang w:val="en-GB"/>
        </w:rPr>
        <w:t xml:space="preserve">re is consensus that </w:t>
      </w:r>
      <w:r w:rsidR="007852BA" w:rsidRPr="007852BA">
        <w:rPr>
          <w:b/>
          <w:bCs/>
          <w:sz w:val="20"/>
          <w:szCs w:val="20"/>
        </w:rPr>
        <w:t>no new requirement should be defined</w:t>
      </w:r>
      <w:r w:rsidR="007852BA">
        <w:rPr>
          <w:b/>
          <w:bCs/>
          <w:sz w:val="20"/>
          <w:szCs w:val="20"/>
        </w:rPr>
        <w:t>, and legacy CA requirements apply regardless of SSB-less operation or not.</w:t>
      </w:r>
      <w:r w:rsidR="007852BA" w:rsidRPr="007852BA">
        <w:rPr>
          <w:b/>
          <w:bCs/>
          <w:sz w:val="20"/>
          <w:szCs w:val="20"/>
        </w:rPr>
        <w:t xml:space="preserve"> </w:t>
      </w:r>
    </w:p>
    <w:p w14:paraId="2403585B" w14:textId="43A428B7" w:rsidR="004447FE" w:rsidRDefault="004447FE" w:rsidP="004447FE">
      <w:pPr>
        <w:spacing w:after="120"/>
        <w:rPr>
          <w:b/>
          <w:bCs/>
          <w:sz w:val="20"/>
          <w:szCs w:val="20"/>
          <w:lang w:val="en-GB"/>
        </w:rPr>
      </w:pPr>
      <w:r w:rsidRPr="002C2D13">
        <w:rPr>
          <w:b/>
          <w:bCs/>
          <w:sz w:val="20"/>
          <w:szCs w:val="20"/>
          <w:u w:val="single"/>
          <w:lang w:val="en-GB"/>
        </w:rPr>
        <w:t>Proposal 1</w:t>
      </w:r>
      <w:r w:rsidRPr="002C2D13">
        <w:rPr>
          <w:b/>
          <w:bCs/>
          <w:sz w:val="20"/>
          <w:szCs w:val="20"/>
          <w:lang w:val="en-GB"/>
        </w:rPr>
        <w:t>: Do not introduce new requirements for CA in SSB-less scenarios.</w:t>
      </w:r>
    </w:p>
    <w:p w14:paraId="41394077" w14:textId="09F3042E" w:rsidR="007852BA" w:rsidRDefault="007852BA" w:rsidP="004447FE">
      <w:pPr>
        <w:spacing w:after="120"/>
        <w:rPr>
          <w:bCs/>
          <w:sz w:val="20"/>
          <w:szCs w:val="20"/>
        </w:rPr>
      </w:pPr>
      <w:r w:rsidRPr="002C2D13">
        <w:rPr>
          <w:b/>
          <w:bCs/>
          <w:sz w:val="20"/>
          <w:szCs w:val="20"/>
          <w:u w:val="single"/>
          <w:lang w:val="en-GB"/>
        </w:rPr>
        <w:lastRenderedPageBreak/>
        <w:t xml:space="preserve">Proposal </w:t>
      </w:r>
      <w:r>
        <w:rPr>
          <w:b/>
          <w:bCs/>
          <w:sz w:val="20"/>
          <w:szCs w:val="20"/>
          <w:u w:val="single"/>
          <w:lang w:val="en-GB"/>
        </w:rPr>
        <w:t>2</w:t>
      </w:r>
      <w:r w:rsidRPr="002C2D13">
        <w:rPr>
          <w:b/>
          <w:bCs/>
          <w:sz w:val="20"/>
          <w:szCs w:val="20"/>
          <w:lang w:val="en-GB"/>
        </w:rPr>
        <w:t xml:space="preserve">: </w:t>
      </w:r>
      <w:r>
        <w:rPr>
          <w:b/>
          <w:bCs/>
          <w:sz w:val="20"/>
          <w:szCs w:val="20"/>
          <w:lang w:val="en-GB"/>
        </w:rPr>
        <w:t>A UE that support SSB-less operation should simply be tested against legacy CA requirements.</w:t>
      </w:r>
    </w:p>
    <w:p w14:paraId="6FAAE6F1" w14:textId="48AE2F16" w:rsidR="007852BA" w:rsidRDefault="007852BA" w:rsidP="00BC6430">
      <w:pPr>
        <w:spacing w:after="120"/>
        <w:rPr>
          <w:b/>
          <w:bCs/>
          <w:sz w:val="20"/>
          <w:szCs w:val="20"/>
        </w:rPr>
      </w:pPr>
    </w:p>
    <w:p w14:paraId="0BB2CF18" w14:textId="77777777" w:rsidR="002C2D13" w:rsidRPr="002C2D13" w:rsidRDefault="002C2D13" w:rsidP="00BC6430">
      <w:pPr>
        <w:spacing w:after="120"/>
        <w:rPr>
          <w:b/>
          <w:bCs/>
          <w:sz w:val="20"/>
          <w:szCs w:val="20"/>
          <w:u w:val="single"/>
          <w:lang w:val="en-GB"/>
        </w:rPr>
      </w:pPr>
    </w:p>
    <w:p w14:paraId="0B3141EF" w14:textId="5F84E441" w:rsidR="009F52D7" w:rsidRPr="002F79EB" w:rsidRDefault="005A1B6E" w:rsidP="009F52D7">
      <w:pPr>
        <w:pStyle w:val="Heading1"/>
        <w:rPr>
          <w:lang w:val="en-US"/>
        </w:rPr>
      </w:pPr>
      <w:r>
        <w:rPr>
          <w:lang w:val="en-US"/>
        </w:rPr>
        <w:t>4</w:t>
      </w:r>
      <w:r w:rsidR="009F52D7">
        <w:rPr>
          <w:lang w:val="en-US"/>
        </w:rPr>
        <w:t>. Conclusion</w:t>
      </w:r>
    </w:p>
    <w:p w14:paraId="5F8ACD8B" w14:textId="678933E2" w:rsidR="008453AD" w:rsidRDefault="00D85753" w:rsidP="008453AD">
      <w:pPr>
        <w:spacing w:after="120"/>
        <w:rPr>
          <w:sz w:val="20"/>
          <w:szCs w:val="20"/>
          <w:lang w:val="en-GB"/>
        </w:rPr>
      </w:pPr>
      <w:r>
        <w:rPr>
          <w:sz w:val="20"/>
          <w:szCs w:val="20"/>
          <w:lang w:val="en-GB"/>
        </w:rPr>
        <w:t xml:space="preserve">Our </w:t>
      </w:r>
      <w:r w:rsidR="00C927E5">
        <w:rPr>
          <w:sz w:val="20"/>
          <w:szCs w:val="20"/>
          <w:lang w:val="en-GB"/>
        </w:rPr>
        <w:t xml:space="preserve">observations and </w:t>
      </w:r>
      <w:r>
        <w:rPr>
          <w:sz w:val="20"/>
          <w:szCs w:val="20"/>
          <w:lang w:val="en-GB"/>
        </w:rPr>
        <w:t xml:space="preserve">proposals </w:t>
      </w:r>
      <w:r w:rsidR="00343A95">
        <w:rPr>
          <w:sz w:val="20"/>
          <w:szCs w:val="20"/>
          <w:lang w:val="en-GB"/>
        </w:rPr>
        <w:t>are summarized below:</w:t>
      </w:r>
    </w:p>
    <w:p w14:paraId="442BE863" w14:textId="74FDAE23" w:rsidR="007852BA" w:rsidRDefault="007852BA" w:rsidP="007852BA">
      <w:pPr>
        <w:spacing w:after="120"/>
        <w:rPr>
          <w:bCs/>
          <w:sz w:val="20"/>
          <w:szCs w:val="20"/>
        </w:rPr>
      </w:pPr>
      <w:r w:rsidRPr="002C2D13">
        <w:rPr>
          <w:b/>
          <w:bCs/>
          <w:sz w:val="20"/>
          <w:szCs w:val="20"/>
          <w:u w:val="single"/>
          <w:lang w:val="en-GB"/>
        </w:rPr>
        <w:t>Observation 1</w:t>
      </w:r>
      <w:r w:rsidRPr="002C2D13">
        <w:rPr>
          <w:b/>
          <w:bCs/>
          <w:sz w:val="20"/>
          <w:szCs w:val="20"/>
          <w:lang w:val="en-GB"/>
        </w:rPr>
        <w:t xml:space="preserve">: The capture range of TRS in SSB-less CA operation </w:t>
      </w:r>
      <w:r>
        <w:rPr>
          <w:b/>
          <w:bCs/>
          <w:sz w:val="20"/>
          <w:szCs w:val="20"/>
          <w:lang w:val="en-GB"/>
        </w:rPr>
        <w:t xml:space="preserve">was shown to be sufficient </w:t>
      </w:r>
      <w:r w:rsidRPr="002C2D13">
        <w:rPr>
          <w:b/>
          <w:bCs/>
          <w:sz w:val="20"/>
          <w:szCs w:val="20"/>
          <w:lang w:val="en-GB"/>
        </w:rPr>
        <w:t xml:space="preserve">for time </w:t>
      </w:r>
      <w:r>
        <w:rPr>
          <w:b/>
          <w:bCs/>
          <w:sz w:val="20"/>
          <w:szCs w:val="20"/>
          <w:lang w:val="en-GB"/>
        </w:rPr>
        <w:t xml:space="preserve">offset </w:t>
      </w:r>
      <w:r w:rsidRPr="002C2D13">
        <w:rPr>
          <w:b/>
          <w:bCs/>
          <w:sz w:val="20"/>
          <w:szCs w:val="20"/>
          <w:lang w:val="en-GB"/>
        </w:rPr>
        <w:t>compensation</w:t>
      </w:r>
      <w:r>
        <w:rPr>
          <w:b/>
          <w:bCs/>
          <w:sz w:val="20"/>
          <w:szCs w:val="20"/>
          <w:lang w:val="en-GB"/>
        </w:rPr>
        <w:t xml:space="preserve"> via simulation results brought by interested companies.</w:t>
      </w:r>
    </w:p>
    <w:p w14:paraId="637EEEF6" w14:textId="77777777" w:rsidR="007852BA" w:rsidRPr="007852BA" w:rsidRDefault="007852BA" w:rsidP="007852BA">
      <w:pPr>
        <w:numPr>
          <w:ilvl w:val="3"/>
          <w:numId w:val="7"/>
        </w:numPr>
        <w:spacing w:after="120"/>
        <w:rPr>
          <w:b/>
          <w:bCs/>
          <w:sz w:val="20"/>
          <w:szCs w:val="20"/>
        </w:rPr>
      </w:pPr>
      <w:r w:rsidRPr="002C2D13">
        <w:rPr>
          <w:b/>
          <w:bCs/>
          <w:sz w:val="20"/>
          <w:szCs w:val="20"/>
          <w:u w:val="single"/>
          <w:lang w:val="en-GB"/>
        </w:rPr>
        <w:t xml:space="preserve">Observation </w:t>
      </w:r>
      <w:r>
        <w:rPr>
          <w:b/>
          <w:bCs/>
          <w:sz w:val="20"/>
          <w:szCs w:val="20"/>
          <w:u w:val="single"/>
          <w:lang w:val="en-GB"/>
        </w:rPr>
        <w:t>2</w:t>
      </w:r>
      <w:r w:rsidRPr="002C2D13">
        <w:rPr>
          <w:b/>
          <w:bCs/>
          <w:sz w:val="20"/>
          <w:szCs w:val="20"/>
          <w:lang w:val="en-GB"/>
        </w:rPr>
        <w:t>: The</w:t>
      </w:r>
      <w:r>
        <w:rPr>
          <w:b/>
          <w:bCs/>
          <w:sz w:val="20"/>
          <w:szCs w:val="20"/>
          <w:lang w:val="en-GB"/>
        </w:rPr>
        <w:t xml:space="preserve">re is consensus that </w:t>
      </w:r>
      <w:r w:rsidRPr="007852BA">
        <w:rPr>
          <w:b/>
          <w:bCs/>
          <w:sz w:val="20"/>
          <w:szCs w:val="20"/>
        </w:rPr>
        <w:t>no new requirement should be defined</w:t>
      </w:r>
      <w:r>
        <w:rPr>
          <w:b/>
          <w:bCs/>
          <w:sz w:val="20"/>
          <w:szCs w:val="20"/>
        </w:rPr>
        <w:t>, and legacy CA requirements apply regardless of SSB-less operation or not.</w:t>
      </w:r>
      <w:r w:rsidRPr="007852BA">
        <w:rPr>
          <w:b/>
          <w:bCs/>
          <w:sz w:val="20"/>
          <w:szCs w:val="20"/>
        </w:rPr>
        <w:t xml:space="preserve"> </w:t>
      </w:r>
    </w:p>
    <w:p w14:paraId="17A23AC5" w14:textId="77777777" w:rsidR="007852BA" w:rsidRDefault="007852BA" w:rsidP="007852BA">
      <w:pPr>
        <w:spacing w:after="120"/>
        <w:rPr>
          <w:b/>
          <w:bCs/>
          <w:sz w:val="20"/>
          <w:szCs w:val="20"/>
          <w:lang w:val="en-GB"/>
        </w:rPr>
      </w:pPr>
      <w:r w:rsidRPr="002C2D13">
        <w:rPr>
          <w:b/>
          <w:bCs/>
          <w:sz w:val="20"/>
          <w:szCs w:val="20"/>
          <w:u w:val="single"/>
          <w:lang w:val="en-GB"/>
        </w:rPr>
        <w:t>Proposal 1</w:t>
      </w:r>
      <w:r w:rsidRPr="002C2D13">
        <w:rPr>
          <w:b/>
          <w:bCs/>
          <w:sz w:val="20"/>
          <w:szCs w:val="20"/>
          <w:lang w:val="en-GB"/>
        </w:rPr>
        <w:t>: Do not introduce new requirements for CA in SSB-less scenarios.</w:t>
      </w:r>
    </w:p>
    <w:p w14:paraId="45B56485" w14:textId="77777777" w:rsidR="007852BA" w:rsidRDefault="007852BA" w:rsidP="007852BA">
      <w:pPr>
        <w:spacing w:after="120"/>
        <w:rPr>
          <w:bCs/>
          <w:sz w:val="20"/>
          <w:szCs w:val="20"/>
        </w:rPr>
      </w:pPr>
      <w:r w:rsidRPr="002C2D13">
        <w:rPr>
          <w:b/>
          <w:bCs/>
          <w:sz w:val="20"/>
          <w:szCs w:val="20"/>
          <w:u w:val="single"/>
          <w:lang w:val="en-GB"/>
        </w:rPr>
        <w:t xml:space="preserve">Proposal </w:t>
      </w:r>
      <w:r>
        <w:rPr>
          <w:b/>
          <w:bCs/>
          <w:sz w:val="20"/>
          <w:szCs w:val="20"/>
          <w:u w:val="single"/>
          <w:lang w:val="en-GB"/>
        </w:rPr>
        <w:t>2</w:t>
      </w:r>
      <w:r w:rsidRPr="002C2D13">
        <w:rPr>
          <w:b/>
          <w:bCs/>
          <w:sz w:val="20"/>
          <w:szCs w:val="20"/>
          <w:lang w:val="en-GB"/>
        </w:rPr>
        <w:t xml:space="preserve">: </w:t>
      </w:r>
      <w:r>
        <w:rPr>
          <w:b/>
          <w:bCs/>
          <w:sz w:val="20"/>
          <w:szCs w:val="20"/>
          <w:lang w:val="en-GB"/>
        </w:rPr>
        <w:t>A UE that support SSB-less operation should simply be tested against legacy CA requirements.</w:t>
      </w:r>
    </w:p>
    <w:p w14:paraId="2108205B" w14:textId="7DDC5A41" w:rsidR="00122E8B" w:rsidRPr="00122E8B" w:rsidRDefault="009F52D7" w:rsidP="00122E8B">
      <w:pPr>
        <w:pStyle w:val="Heading1"/>
        <w:ind w:left="432" w:hanging="432"/>
        <w:rPr>
          <w:lang w:val="en-US"/>
        </w:rPr>
      </w:pPr>
      <w:r>
        <w:rPr>
          <w:lang w:val="en-US"/>
        </w:rPr>
        <w:t>Reference</w:t>
      </w:r>
      <w:r w:rsidR="00963D54">
        <w:rPr>
          <w:lang w:val="en-US"/>
        </w:rPr>
        <w:t>s</w:t>
      </w:r>
    </w:p>
    <w:p w14:paraId="3B82EE05" w14:textId="3B2AE042" w:rsidR="00A35D20" w:rsidRPr="00A35D20" w:rsidRDefault="00A35D20" w:rsidP="00395AAF">
      <w:pPr>
        <w:pStyle w:val="ListParagraph"/>
        <w:numPr>
          <w:ilvl w:val="0"/>
          <w:numId w:val="2"/>
        </w:numPr>
        <w:spacing w:after="120"/>
        <w:ind w:firstLineChars="0"/>
        <w:jc w:val="both"/>
        <w:rPr>
          <w:rFonts w:ascii="Times New Roman" w:eastAsia="Times New Roman" w:hAnsi="Times New Roman" w:cs="Times New Roman"/>
          <w:sz w:val="20"/>
          <w:szCs w:val="20"/>
          <w:lang w:eastAsia="en-US"/>
        </w:rPr>
      </w:pPr>
      <w:r w:rsidRPr="00A35D20">
        <w:rPr>
          <w:rFonts w:ascii="Times New Roman" w:eastAsia="Times New Roman" w:hAnsi="Times New Roman" w:cs="Times New Roman"/>
          <w:sz w:val="20"/>
          <w:szCs w:val="20"/>
          <w:lang w:eastAsia="en-US"/>
        </w:rPr>
        <w:t>R4-2318353, “Discussion on Network energy saving for NR UE demodulation performance and CSI requirements”, Nokia, Nokia Shanghai Bel</w:t>
      </w:r>
      <w:r>
        <w:rPr>
          <w:rFonts w:ascii="Times New Roman" w:eastAsia="Times New Roman" w:hAnsi="Times New Roman" w:cs="Times New Roman"/>
          <w:sz w:val="20"/>
          <w:szCs w:val="20"/>
          <w:lang w:eastAsia="en-US"/>
        </w:rPr>
        <w:t>l.</w:t>
      </w:r>
    </w:p>
    <w:p w14:paraId="57796A25" w14:textId="4AE898D6" w:rsidR="00924CB2" w:rsidRPr="005531A1" w:rsidRDefault="00924CB2" w:rsidP="005531A1">
      <w:pPr>
        <w:spacing w:after="120"/>
        <w:jc w:val="both"/>
        <w:rPr>
          <w:sz w:val="20"/>
          <w:szCs w:val="20"/>
        </w:rPr>
      </w:pPr>
    </w:p>
    <w:sectPr w:rsidR="00924CB2" w:rsidRPr="005531A1" w:rsidSect="00C57D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5274B" w14:textId="77777777" w:rsidR="00C57D03" w:rsidRDefault="00C57D03" w:rsidP="00F30E9C">
      <w:r>
        <w:separator/>
      </w:r>
    </w:p>
  </w:endnote>
  <w:endnote w:type="continuationSeparator" w:id="0">
    <w:p w14:paraId="4F546DC3" w14:textId="77777777" w:rsidR="00C57D03" w:rsidRDefault="00C57D03"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B594F" w14:textId="77777777" w:rsidR="00C57D03" w:rsidRDefault="00C57D03" w:rsidP="00F30E9C">
      <w:r>
        <w:separator/>
      </w:r>
    </w:p>
  </w:footnote>
  <w:footnote w:type="continuationSeparator" w:id="0">
    <w:p w14:paraId="361750CE" w14:textId="77777777" w:rsidR="00C57D03" w:rsidRDefault="00C57D03"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17617"/>
    <w:multiLevelType w:val="hybridMultilevel"/>
    <w:tmpl w:val="4D6A4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E5680"/>
    <w:multiLevelType w:val="hybridMultilevel"/>
    <w:tmpl w:val="61FEE2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676A44"/>
    <w:multiLevelType w:val="hybridMultilevel"/>
    <w:tmpl w:val="182A7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44652C"/>
    <w:multiLevelType w:val="hybridMultilevel"/>
    <w:tmpl w:val="4B7C6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18" w15:restartNumberingAfterBreak="0">
    <w:nsid w:val="6C0A148E"/>
    <w:multiLevelType w:val="hybridMultilevel"/>
    <w:tmpl w:val="84CC050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7E30194"/>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9"/>
  </w:num>
  <w:num w:numId="2" w16cid:durableId="1198423226">
    <w:abstractNumId w:val="14"/>
  </w:num>
  <w:num w:numId="3" w16cid:durableId="1390378014">
    <w:abstractNumId w:val="13"/>
  </w:num>
  <w:num w:numId="4" w16cid:durableId="1651591391">
    <w:abstractNumId w:val="23"/>
  </w:num>
  <w:num w:numId="5" w16cid:durableId="1890266662">
    <w:abstractNumId w:val="24"/>
  </w:num>
  <w:num w:numId="6" w16cid:durableId="2122147124">
    <w:abstractNumId w:val="22"/>
  </w:num>
  <w:num w:numId="7" w16cid:durableId="1176337225">
    <w:abstractNumId w:val="0"/>
  </w:num>
  <w:num w:numId="8" w16cid:durableId="1785267409">
    <w:abstractNumId w:val="1"/>
  </w:num>
  <w:num w:numId="9" w16cid:durableId="130288661">
    <w:abstractNumId w:val="2"/>
  </w:num>
  <w:num w:numId="10" w16cid:durableId="1661690479">
    <w:abstractNumId w:val="26"/>
  </w:num>
  <w:num w:numId="11" w16cid:durableId="1597205487">
    <w:abstractNumId w:val="4"/>
  </w:num>
  <w:num w:numId="12" w16cid:durableId="1425761313">
    <w:abstractNumId w:val="16"/>
  </w:num>
  <w:num w:numId="13" w16cid:durableId="9255106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19"/>
  </w:num>
  <w:num w:numId="15" w16cid:durableId="146409650">
    <w:abstractNumId w:val="10"/>
  </w:num>
  <w:num w:numId="16" w16cid:durableId="721246799">
    <w:abstractNumId w:val="6"/>
  </w:num>
  <w:num w:numId="17" w16cid:durableId="1523208169">
    <w:abstractNumId w:val="15"/>
  </w:num>
  <w:num w:numId="18" w16cid:durableId="1419520909">
    <w:abstractNumId w:val="20"/>
  </w:num>
  <w:num w:numId="19" w16cid:durableId="553346791">
    <w:abstractNumId w:val="8"/>
  </w:num>
  <w:num w:numId="20" w16cid:durableId="946040074">
    <w:abstractNumId w:val="11"/>
  </w:num>
  <w:num w:numId="21" w16cid:durableId="1559244019">
    <w:abstractNumId w:val="25"/>
  </w:num>
  <w:num w:numId="22" w16cid:durableId="1553079906">
    <w:abstractNumId w:val="21"/>
  </w:num>
  <w:num w:numId="23" w16cid:durableId="389958988">
    <w:abstractNumId w:val="7"/>
  </w:num>
  <w:num w:numId="24" w16cid:durableId="385493115">
    <w:abstractNumId w:val="12"/>
  </w:num>
  <w:num w:numId="25" w16cid:durableId="1074160419">
    <w:abstractNumId w:val="3"/>
  </w:num>
  <w:num w:numId="26" w16cid:durableId="1421947847">
    <w:abstractNumId w:val="5"/>
  </w:num>
  <w:num w:numId="27" w16cid:durableId="942758993">
    <w:abstractNumId w:val="18"/>
  </w:num>
  <w:num w:numId="28" w16cid:durableId="4191035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0529C"/>
    <w:rsid w:val="0001052C"/>
    <w:rsid w:val="00011886"/>
    <w:rsid w:val="000317F4"/>
    <w:rsid w:val="0003368D"/>
    <w:rsid w:val="00035CCF"/>
    <w:rsid w:val="00046431"/>
    <w:rsid w:val="00055C30"/>
    <w:rsid w:val="00056B5C"/>
    <w:rsid w:val="000676D8"/>
    <w:rsid w:val="00084F53"/>
    <w:rsid w:val="0008785A"/>
    <w:rsid w:val="000A0817"/>
    <w:rsid w:val="000B00C6"/>
    <w:rsid w:val="000C3A3B"/>
    <w:rsid w:val="000E3270"/>
    <w:rsid w:val="000F29D8"/>
    <w:rsid w:val="000F617A"/>
    <w:rsid w:val="001136ED"/>
    <w:rsid w:val="001155C3"/>
    <w:rsid w:val="00121828"/>
    <w:rsid w:val="0012221A"/>
    <w:rsid w:val="00122E8B"/>
    <w:rsid w:val="0012332D"/>
    <w:rsid w:val="00124EF2"/>
    <w:rsid w:val="001325EA"/>
    <w:rsid w:val="001333E6"/>
    <w:rsid w:val="00141A2A"/>
    <w:rsid w:val="001478D2"/>
    <w:rsid w:val="00162A29"/>
    <w:rsid w:val="001636CF"/>
    <w:rsid w:val="0016792E"/>
    <w:rsid w:val="00177147"/>
    <w:rsid w:val="001A0C7C"/>
    <w:rsid w:val="001A28CA"/>
    <w:rsid w:val="001B161F"/>
    <w:rsid w:val="001B5D0A"/>
    <w:rsid w:val="001B64EF"/>
    <w:rsid w:val="001C3450"/>
    <w:rsid w:val="001C663E"/>
    <w:rsid w:val="001C6BE1"/>
    <w:rsid w:val="001E0DE1"/>
    <w:rsid w:val="001E2909"/>
    <w:rsid w:val="002101FE"/>
    <w:rsid w:val="0021168F"/>
    <w:rsid w:val="002144AB"/>
    <w:rsid w:val="002173FA"/>
    <w:rsid w:val="0021754E"/>
    <w:rsid w:val="00250591"/>
    <w:rsid w:val="00250B41"/>
    <w:rsid w:val="00251557"/>
    <w:rsid w:val="002670AF"/>
    <w:rsid w:val="00273F21"/>
    <w:rsid w:val="00275344"/>
    <w:rsid w:val="00281E49"/>
    <w:rsid w:val="002870EA"/>
    <w:rsid w:val="002872FC"/>
    <w:rsid w:val="00296939"/>
    <w:rsid w:val="002A3762"/>
    <w:rsid w:val="002B0573"/>
    <w:rsid w:val="002B47B4"/>
    <w:rsid w:val="002C2D13"/>
    <w:rsid w:val="002C47FE"/>
    <w:rsid w:val="002C5133"/>
    <w:rsid w:val="002D22B2"/>
    <w:rsid w:val="002F4FA3"/>
    <w:rsid w:val="00303609"/>
    <w:rsid w:val="00306288"/>
    <w:rsid w:val="00314E5E"/>
    <w:rsid w:val="00333F2C"/>
    <w:rsid w:val="00334CC9"/>
    <w:rsid w:val="003353C3"/>
    <w:rsid w:val="00343A95"/>
    <w:rsid w:val="003651C9"/>
    <w:rsid w:val="0038739B"/>
    <w:rsid w:val="0039010A"/>
    <w:rsid w:val="00395AAF"/>
    <w:rsid w:val="00395B04"/>
    <w:rsid w:val="003975FD"/>
    <w:rsid w:val="003A4D59"/>
    <w:rsid w:val="003C24F8"/>
    <w:rsid w:val="003D17C7"/>
    <w:rsid w:val="003D6FDD"/>
    <w:rsid w:val="003D7052"/>
    <w:rsid w:val="003E46EC"/>
    <w:rsid w:val="003E792F"/>
    <w:rsid w:val="00417094"/>
    <w:rsid w:val="00424A55"/>
    <w:rsid w:val="004275ED"/>
    <w:rsid w:val="004360C6"/>
    <w:rsid w:val="004447FE"/>
    <w:rsid w:val="00451384"/>
    <w:rsid w:val="00451ADC"/>
    <w:rsid w:val="00453482"/>
    <w:rsid w:val="004570E6"/>
    <w:rsid w:val="00471159"/>
    <w:rsid w:val="00473122"/>
    <w:rsid w:val="00495384"/>
    <w:rsid w:val="0049684E"/>
    <w:rsid w:val="0049686E"/>
    <w:rsid w:val="004A07D2"/>
    <w:rsid w:val="004A23E2"/>
    <w:rsid w:val="004A2444"/>
    <w:rsid w:val="004A5B90"/>
    <w:rsid w:val="004B238C"/>
    <w:rsid w:val="004B5813"/>
    <w:rsid w:val="004C6C82"/>
    <w:rsid w:val="004D1584"/>
    <w:rsid w:val="004D2A48"/>
    <w:rsid w:val="004D7DFF"/>
    <w:rsid w:val="004E36A1"/>
    <w:rsid w:val="004E55BC"/>
    <w:rsid w:val="00506A0F"/>
    <w:rsid w:val="005232D0"/>
    <w:rsid w:val="00525C94"/>
    <w:rsid w:val="00540C1A"/>
    <w:rsid w:val="00543313"/>
    <w:rsid w:val="005531A1"/>
    <w:rsid w:val="00555B06"/>
    <w:rsid w:val="00556D48"/>
    <w:rsid w:val="0057184D"/>
    <w:rsid w:val="005970D0"/>
    <w:rsid w:val="005A1B6E"/>
    <w:rsid w:val="005B0EBF"/>
    <w:rsid w:val="005B410D"/>
    <w:rsid w:val="005B6A3A"/>
    <w:rsid w:val="005B6F4C"/>
    <w:rsid w:val="005D1B1F"/>
    <w:rsid w:val="005D390D"/>
    <w:rsid w:val="005F784F"/>
    <w:rsid w:val="00612C8E"/>
    <w:rsid w:val="00616E09"/>
    <w:rsid w:val="00621D7B"/>
    <w:rsid w:val="00626BDE"/>
    <w:rsid w:val="00626E68"/>
    <w:rsid w:val="0063070C"/>
    <w:rsid w:val="0063185F"/>
    <w:rsid w:val="0064329A"/>
    <w:rsid w:val="00656EBD"/>
    <w:rsid w:val="00657D27"/>
    <w:rsid w:val="006754E7"/>
    <w:rsid w:val="00696266"/>
    <w:rsid w:val="006A3780"/>
    <w:rsid w:val="006B1579"/>
    <w:rsid w:val="006E37C8"/>
    <w:rsid w:val="006E3972"/>
    <w:rsid w:val="006F3DE7"/>
    <w:rsid w:val="006F5727"/>
    <w:rsid w:val="006F6FE1"/>
    <w:rsid w:val="006F7E9F"/>
    <w:rsid w:val="00706613"/>
    <w:rsid w:val="00722621"/>
    <w:rsid w:val="0072383F"/>
    <w:rsid w:val="00730BC2"/>
    <w:rsid w:val="007310D9"/>
    <w:rsid w:val="007331E1"/>
    <w:rsid w:val="00763850"/>
    <w:rsid w:val="007672B0"/>
    <w:rsid w:val="00774586"/>
    <w:rsid w:val="00775238"/>
    <w:rsid w:val="00776079"/>
    <w:rsid w:val="00781B00"/>
    <w:rsid w:val="007852BA"/>
    <w:rsid w:val="00795EF3"/>
    <w:rsid w:val="007A1BB1"/>
    <w:rsid w:val="007A3BE1"/>
    <w:rsid w:val="007B6FFB"/>
    <w:rsid w:val="007C3019"/>
    <w:rsid w:val="007C626C"/>
    <w:rsid w:val="007C7349"/>
    <w:rsid w:val="007E0A8D"/>
    <w:rsid w:val="007F178A"/>
    <w:rsid w:val="007F69A9"/>
    <w:rsid w:val="008056E3"/>
    <w:rsid w:val="008069DA"/>
    <w:rsid w:val="00807AC7"/>
    <w:rsid w:val="00813A2C"/>
    <w:rsid w:val="00817BD6"/>
    <w:rsid w:val="00825DC0"/>
    <w:rsid w:val="00837356"/>
    <w:rsid w:val="00842018"/>
    <w:rsid w:val="008453AD"/>
    <w:rsid w:val="00845611"/>
    <w:rsid w:val="00852545"/>
    <w:rsid w:val="0085552D"/>
    <w:rsid w:val="00856411"/>
    <w:rsid w:val="00866E27"/>
    <w:rsid w:val="0087401C"/>
    <w:rsid w:val="00877738"/>
    <w:rsid w:val="00880B5A"/>
    <w:rsid w:val="00894A95"/>
    <w:rsid w:val="008A0AC7"/>
    <w:rsid w:val="008A1A32"/>
    <w:rsid w:val="008B3E00"/>
    <w:rsid w:val="008B7390"/>
    <w:rsid w:val="008D2F89"/>
    <w:rsid w:val="008D38CF"/>
    <w:rsid w:val="008E15BC"/>
    <w:rsid w:val="008E2187"/>
    <w:rsid w:val="008E7F03"/>
    <w:rsid w:val="008F57EB"/>
    <w:rsid w:val="00924CB2"/>
    <w:rsid w:val="00932C93"/>
    <w:rsid w:val="00937490"/>
    <w:rsid w:val="0094048B"/>
    <w:rsid w:val="00951300"/>
    <w:rsid w:val="009522B7"/>
    <w:rsid w:val="00956F4E"/>
    <w:rsid w:val="00963D54"/>
    <w:rsid w:val="009658F3"/>
    <w:rsid w:val="00970536"/>
    <w:rsid w:val="009735BB"/>
    <w:rsid w:val="00976E0B"/>
    <w:rsid w:val="00996052"/>
    <w:rsid w:val="009A06BF"/>
    <w:rsid w:val="009A2892"/>
    <w:rsid w:val="009B4D21"/>
    <w:rsid w:val="009D596C"/>
    <w:rsid w:val="009E6659"/>
    <w:rsid w:val="009F38B1"/>
    <w:rsid w:val="009F52D7"/>
    <w:rsid w:val="009F7E2A"/>
    <w:rsid w:val="00A00958"/>
    <w:rsid w:val="00A02A1D"/>
    <w:rsid w:val="00A11ACD"/>
    <w:rsid w:val="00A12C85"/>
    <w:rsid w:val="00A211CC"/>
    <w:rsid w:val="00A22560"/>
    <w:rsid w:val="00A341D6"/>
    <w:rsid w:val="00A35D20"/>
    <w:rsid w:val="00A43149"/>
    <w:rsid w:val="00A443D2"/>
    <w:rsid w:val="00A44672"/>
    <w:rsid w:val="00A53D2C"/>
    <w:rsid w:val="00A56D6E"/>
    <w:rsid w:val="00A77341"/>
    <w:rsid w:val="00A832C7"/>
    <w:rsid w:val="00A8527E"/>
    <w:rsid w:val="00A86E4A"/>
    <w:rsid w:val="00A901A0"/>
    <w:rsid w:val="00A977CC"/>
    <w:rsid w:val="00AC503C"/>
    <w:rsid w:val="00AC5541"/>
    <w:rsid w:val="00AC6BC7"/>
    <w:rsid w:val="00AD3B58"/>
    <w:rsid w:val="00AF34A1"/>
    <w:rsid w:val="00B076EC"/>
    <w:rsid w:val="00B40D6F"/>
    <w:rsid w:val="00B413BD"/>
    <w:rsid w:val="00B4477F"/>
    <w:rsid w:val="00B50174"/>
    <w:rsid w:val="00B60782"/>
    <w:rsid w:val="00B60ADA"/>
    <w:rsid w:val="00B64078"/>
    <w:rsid w:val="00B66CEE"/>
    <w:rsid w:val="00B8567C"/>
    <w:rsid w:val="00B96332"/>
    <w:rsid w:val="00BA3D63"/>
    <w:rsid w:val="00BB12CF"/>
    <w:rsid w:val="00BC07AA"/>
    <w:rsid w:val="00BC6430"/>
    <w:rsid w:val="00BE371C"/>
    <w:rsid w:val="00BE5A98"/>
    <w:rsid w:val="00BF2E35"/>
    <w:rsid w:val="00BF59A7"/>
    <w:rsid w:val="00C02636"/>
    <w:rsid w:val="00C448B8"/>
    <w:rsid w:val="00C5189D"/>
    <w:rsid w:val="00C53127"/>
    <w:rsid w:val="00C57D03"/>
    <w:rsid w:val="00C6373D"/>
    <w:rsid w:val="00C656D5"/>
    <w:rsid w:val="00C719F6"/>
    <w:rsid w:val="00C759F9"/>
    <w:rsid w:val="00C809F4"/>
    <w:rsid w:val="00C82165"/>
    <w:rsid w:val="00C8694F"/>
    <w:rsid w:val="00C870BE"/>
    <w:rsid w:val="00C91A39"/>
    <w:rsid w:val="00C927E5"/>
    <w:rsid w:val="00C94AC7"/>
    <w:rsid w:val="00C95EBD"/>
    <w:rsid w:val="00C96C53"/>
    <w:rsid w:val="00C971A5"/>
    <w:rsid w:val="00CA1B87"/>
    <w:rsid w:val="00CA258C"/>
    <w:rsid w:val="00CC7FC2"/>
    <w:rsid w:val="00CD0F63"/>
    <w:rsid w:val="00CD22D1"/>
    <w:rsid w:val="00CD4875"/>
    <w:rsid w:val="00CE0F08"/>
    <w:rsid w:val="00CF2DC7"/>
    <w:rsid w:val="00D03ABF"/>
    <w:rsid w:val="00D049E8"/>
    <w:rsid w:val="00D20BAA"/>
    <w:rsid w:val="00D2109F"/>
    <w:rsid w:val="00D313D2"/>
    <w:rsid w:val="00D468F9"/>
    <w:rsid w:val="00D50F00"/>
    <w:rsid w:val="00D601BB"/>
    <w:rsid w:val="00D62653"/>
    <w:rsid w:val="00D6276A"/>
    <w:rsid w:val="00D85753"/>
    <w:rsid w:val="00D952B8"/>
    <w:rsid w:val="00DB1338"/>
    <w:rsid w:val="00DB6943"/>
    <w:rsid w:val="00DC15F7"/>
    <w:rsid w:val="00DD5725"/>
    <w:rsid w:val="00DD58AC"/>
    <w:rsid w:val="00DE3A30"/>
    <w:rsid w:val="00DE4D00"/>
    <w:rsid w:val="00DE50C3"/>
    <w:rsid w:val="00DF1ED2"/>
    <w:rsid w:val="00DF7B4C"/>
    <w:rsid w:val="00E032DE"/>
    <w:rsid w:val="00E04D98"/>
    <w:rsid w:val="00E16C3E"/>
    <w:rsid w:val="00E42255"/>
    <w:rsid w:val="00E47A91"/>
    <w:rsid w:val="00E52300"/>
    <w:rsid w:val="00E5586A"/>
    <w:rsid w:val="00E72423"/>
    <w:rsid w:val="00E73459"/>
    <w:rsid w:val="00E9138B"/>
    <w:rsid w:val="00E93423"/>
    <w:rsid w:val="00EA3ADD"/>
    <w:rsid w:val="00EA4E79"/>
    <w:rsid w:val="00EB179A"/>
    <w:rsid w:val="00EB3C3C"/>
    <w:rsid w:val="00EB4612"/>
    <w:rsid w:val="00EC2A97"/>
    <w:rsid w:val="00EC4082"/>
    <w:rsid w:val="00EE26D3"/>
    <w:rsid w:val="00EF2605"/>
    <w:rsid w:val="00EF3C17"/>
    <w:rsid w:val="00EF7A91"/>
    <w:rsid w:val="00F01B56"/>
    <w:rsid w:val="00F13CA3"/>
    <w:rsid w:val="00F222B5"/>
    <w:rsid w:val="00F22854"/>
    <w:rsid w:val="00F265AC"/>
    <w:rsid w:val="00F30E9C"/>
    <w:rsid w:val="00F441E8"/>
    <w:rsid w:val="00F61FC2"/>
    <w:rsid w:val="00F73981"/>
    <w:rsid w:val="00F810A6"/>
    <w:rsid w:val="00F94542"/>
    <w:rsid w:val="00F96386"/>
    <w:rsid w:val="00FB1CB8"/>
    <w:rsid w:val="00FB2CF7"/>
    <w:rsid w:val="00FB4822"/>
    <w:rsid w:val="00FC4CFF"/>
    <w:rsid w:val="00FC77F1"/>
    <w:rsid w:val="00FE40A5"/>
    <w:rsid w:val="00FF2DCA"/>
    <w:rsid w:val="00FF6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B2"/>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aliases w:val="cap"/>
    <w:basedOn w:val="Normal"/>
    <w:next w:val="Normal"/>
    <w:link w:val="CaptionChar"/>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 w:type="character" w:customStyle="1" w:styleId="TALCar">
    <w:name w:val="TAL Car"/>
    <w:link w:val="TAL"/>
    <w:qFormat/>
    <w:locked/>
    <w:rsid w:val="00CC7FC2"/>
    <w:rPr>
      <w:rFonts w:ascii="Arial" w:eastAsia="Times New Roman" w:hAnsi="Arial"/>
      <w:sz w:val="18"/>
    </w:rPr>
  </w:style>
  <w:style w:type="paragraph" w:customStyle="1" w:styleId="TAL">
    <w:name w:val="TAL"/>
    <w:basedOn w:val="Normal"/>
    <w:link w:val="TALCar"/>
    <w:qFormat/>
    <w:rsid w:val="00CC7FC2"/>
    <w:pPr>
      <w:keepNext/>
      <w:keepLines/>
      <w:overflowPunct w:val="0"/>
      <w:autoSpaceDE w:val="0"/>
      <w:autoSpaceDN w:val="0"/>
      <w:adjustRightInd w:val="0"/>
      <w:textAlignment w:val="baseline"/>
    </w:pPr>
    <w:rPr>
      <w:rFonts w:ascii="Arial" w:hAnsi="Arial" w:cstheme="minorBidi"/>
      <w:sz w:val="18"/>
    </w:rPr>
  </w:style>
  <w:style w:type="character" w:customStyle="1" w:styleId="THChar">
    <w:name w:val="TH Char"/>
    <w:link w:val="TH"/>
    <w:qFormat/>
    <w:locked/>
    <w:rsid w:val="00CC7FC2"/>
    <w:rPr>
      <w:rFonts w:ascii="Arial" w:eastAsia="Times New Roman" w:hAnsi="Arial"/>
      <w:b/>
    </w:rPr>
  </w:style>
  <w:style w:type="paragraph" w:customStyle="1" w:styleId="TH">
    <w:name w:val="TH"/>
    <w:basedOn w:val="Normal"/>
    <w:link w:val="THChar"/>
    <w:qFormat/>
    <w:rsid w:val="00CC7FC2"/>
    <w:pPr>
      <w:keepNext/>
      <w:keepLines/>
      <w:overflowPunct w:val="0"/>
      <w:autoSpaceDE w:val="0"/>
      <w:autoSpaceDN w:val="0"/>
      <w:adjustRightInd w:val="0"/>
      <w:spacing w:before="60" w:after="180"/>
      <w:jc w:val="center"/>
      <w:textAlignment w:val="baseline"/>
    </w:pPr>
    <w:rPr>
      <w:rFonts w:ascii="Arial" w:hAnsi="Arial" w:cstheme="minorBidi"/>
      <w:b/>
    </w:rPr>
  </w:style>
  <w:style w:type="character" w:customStyle="1" w:styleId="CaptionChar">
    <w:name w:val="Caption Char"/>
    <w:aliases w:val="cap Char"/>
    <w:basedOn w:val="DefaultParagraphFont"/>
    <w:link w:val="Caption"/>
    <w:uiPriority w:val="35"/>
    <w:rsid w:val="00763850"/>
    <w:rPr>
      <w:rFonts w:ascii="Times New Roman" w:hAnsi="Times New Roman" w:cs="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3343</Characters>
  <Application>Microsoft Office Word</Application>
  <DocSecurity>0</DocSecurity>
  <Lines>238</Lines>
  <Paragraphs>136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 (r_bettancourt)</cp:lastModifiedBy>
  <cp:revision>3</cp:revision>
  <dcterms:created xsi:type="dcterms:W3CDTF">2024-05-11T23:24:00Z</dcterms:created>
  <dcterms:modified xsi:type="dcterms:W3CDTF">2024-05-11T23:24:00Z</dcterms:modified>
</cp:coreProperties>
</file>